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6F" w:rsidRPr="001E3E6F" w:rsidRDefault="0011047E" w:rsidP="00BD65A0">
      <w:pPr>
        <w:pStyle w:val="NoSpacing"/>
        <w:bidi w:val="0"/>
        <w:ind w:left="851" w:right="-846" w:hanging="851"/>
        <w:jc w:val="both"/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 w:bidi="en-US"/>
        </w:rPr>
      </w:pPr>
      <w:r w:rsidRPr="00030BDF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D65EFB" w:rsidRPr="00030BDF">
        <w:rPr>
          <w:rFonts w:ascii="Times New Roman" w:hAnsi="Times New Roman" w:cs="Times New Roman"/>
          <w:b/>
          <w:bCs/>
          <w:sz w:val="22"/>
          <w:szCs w:val="22"/>
        </w:rPr>
        <w:t>itle</w:t>
      </w:r>
      <w:r w:rsidRPr="00030BD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C53DCE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 w:bidi="en-US"/>
        </w:rPr>
        <w:t>Identification, isolation and sequencing of Anti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  <w:rtl/>
          <w:lang w:val="en-GB"/>
        </w:rPr>
        <w:t xml:space="preserve"> 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 w:bidi="en-US"/>
        </w:rPr>
        <w:t xml:space="preserve">porter 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</w:rPr>
        <w:t>(Na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  <w:vertAlign w:val="superscript"/>
        </w:rPr>
        <w:t>+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</w:rPr>
        <w:t>/H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  <w:vertAlign w:val="superscript"/>
        </w:rPr>
        <w:t>+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</w:rPr>
        <w:t xml:space="preserve">) 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 w:bidi="en-US"/>
        </w:rPr>
        <w:t>vacuole membrane (NHX)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  <w:rtl/>
          <w:lang w:val="en-GB" w:bidi="fa-IR"/>
        </w:rPr>
        <w:t xml:space="preserve"> 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 w:bidi="en-US"/>
        </w:rPr>
        <w:t xml:space="preserve">and 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</w:rPr>
        <w:t xml:space="preserve">plasma membrane 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 w:bidi="en-US"/>
        </w:rPr>
        <w:t>(SOS1)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  <w:rtl/>
          <w:lang w:val="en-GB" w:bidi="fa-IR"/>
        </w:rPr>
        <w:t xml:space="preserve"> 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 w:bidi="en-US"/>
        </w:rPr>
        <w:t xml:space="preserve">coding sequence 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</w:rPr>
        <w:t xml:space="preserve">genes 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 w:bidi="en-US"/>
        </w:rPr>
        <w:t xml:space="preserve">in </w:t>
      </w:r>
      <w:r w:rsidR="001E3E6F" w:rsidRPr="001E3E6F">
        <w:rPr>
          <w:rFonts w:ascii="Times New Roman" w:eastAsia="Times New Roman" w:hAnsi="Times New Roman" w:cs="Times New Roman"/>
          <w:i/>
          <w:iCs/>
          <w:noProof/>
          <w:color w:val="0D0D0D"/>
          <w:sz w:val="22"/>
          <w:szCs w:val="22"/>
          <w:lang w:val="en-GB" w:bidi="en-US"/>
        </w:rPr>
        <w:t>Kochia scoparia</w:t>
      </w:r>
    </w:p>
    <w:p w:rsidR="0092015B" w:rsidRPr="00B6489B" w:rsidRDefault="0092015B" w:rsidP="00BD65A0">
      <w:pPr>
        <w:pStyle w:val="NoSpacing"/>
        <w:bidi w:val="0"/>
        <w:ind w:left="851" w:right="-846" w:hanging="851"/>
        <w:jc w:val="both"/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</w:pPr>
      <w:r w:rsidRPr="00030BDF">
        <w:rPr>
          <w:rFonts w:ascii="Times New Roman" w:eastAsia="Times New Roman" w:hAnsi="Times New Roman" w:cs="Times New Roman"/>
          <w:b/>
          <w:bCs/>
          <w:noProof/>
          <w:color w:val="0D0D0D"/>
          <w:sz w:val="22"/>
          <w:szCs w:val="22"/>
          <w:lang w:val="en-GB"/>
        </w:rPr>
        <w:t>Author:</w:t>
      </w:r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1E3E6F" w:rsidRP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</w:rPr>
        <w:t>Leila Fahmideh and Ziba Fooladvand</w:t>
      </w:r>
      <w:r w:rsidR="00B6489B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>, University of Zabol, Iran</w:t>
      </w:r>
    </w:p>
    <w:p w:rsidR="0011047E" w:rsidRPr="00B6489B" w:rsidRDefault="00D65EFB" w:rsidP="00BD65A0">
      <w:pPr>
        <w:pStyle w:val="NoSpacing"/>
        <w:bidi w:val="0"/>
        <w:jc w:val="both"/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</w:pPr>
      <w:r w:rsidRPr="00030BDF">
        <w:rPr>
          <w:rFonts w:ascii="Times New Roman" w:eastAsia="Times New Roman" w:hAnsi="Times New Roman" w:cs="Times New Roman"/>
          <w:b/>
          <w:bCs/>
          <w:noProof/>
          <w:color w:val="0D0D0D"/>
          <w:sz w:val="22"/>
          <w:szCs w:val="22"/>
          <w:lang w:val="en-GB"/>
        </w:rPr>
        <w:t>Email</w:t>
      </w:r>
      <w:r w:rsidR="0011047E" w:rsidRPr="00030BD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6103D9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1E3E6F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>leila.fahmideh@yahoo.com</w:t>
      </w:r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ab/>
      </w:r>
      <w:r w:rsidR="003101D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                                                        </w:t>
      </w:r>
    </w:p>
    <w:p w:rsidR="003126E2" w:rsidRPr="00B6489B" w:rsidRDefault="0011047E" w:rsidP="00BD65A0">
      <w:pPr>
        <w:pStyle w:val="NoSpacing"/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030BDF">
        <w:rPr>
          <w:rFonts w:ascii="Times New Roman" w:eastAsia="Times New Roman" w:hAnsi="Times New Roman" w:cs="Times New Roman"/>
          <w:b/>
          <w:bCs/>
          <w:noProof/>
          <w:color w:val="0D0D0D"/>
          <w:sz w:val="22"/>
          <w:szCs w:val="22"/>
          <w:lang w:val="en-GB"/>
        </w:rPr>
        <w:t>Date</w:t>
      </w:r>
      <w:r w:rsidRPr="00030BD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C53DCE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1E3E6F" w:rsidRPr="001E3E6F">
        <w:rPr>
          <w:rFonts w:ascii="Times New Roman" w:hAnsi="Times New Roman" w:cs="Times New Roman"/>
          <w:sz w:val="22"/>
          <w:szCs w:val="22"/>
        </w:rPr>
        <w:t>April 2018</w:t>
      </w:r>
    </w:p>
    <w:p w:rsidR="0092015B" w:rsidRPr="00B6489B" w:rsidRDefault="0092015B" w:rsidP="00BD65A0">
      <w:pPr>
        <w:pStyle w:val="NoSpacing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p w:rsidR="0025623D" w:rsidRPr="00B6489B" w:rsidRDefault="0025623D" w:rsidP="00BD65A0">
      <w:pPr>
        <w:pStyle w:val="NoSpacing"/>
        <w:bidi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489B">
        <w:rPr>
          <w:rFonts w:ascii="Times New Roman" w:hAnsi="Times New Roman" w:cs="Times New Roman"/>
          <w:b/>
          <w:bCs/>
          <w:sz w:val="22"/>
          <w:szCs w:val="22"/>
        </w:rPr>
        <w:t>Introduction</w:t>
      </w:r>
    </w:p>
    <w:p w:rsidR="00787C7B" w:rsidRDefault="00787C7B" w:rsidP="00BD65A0">
      <w:pPr>
        <w:pStyle w:val="NoSpacing"/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BD65A0">
        <w:rPr>
          <w:rFonts w:ascii="Times New Roman" w:hAnsi="Times New Roman" w:cs="Times New Roman"/>
          <w:i/>
          <w:iCs/>
          <w:sz w:val="22"/>
          <w:szCs w:val="22"/>
        </w:rPr>
        <w:t>Kochia scoparia</w:t>
      </w:r>
      <w:r w:rsidRPr="00787C7B">
        <w:rPr>
          <w:rFonts w:ascii="Times New Roman" w:hAnsi="Times New Roman" w:cs="Times New Roman"/>
          <w:sz w:val="22"/>
          <w:szCs w:val="22"/>
        </w:rPr>
        <w:t xml:space="preserve"> is a dicotyledonous annual herb and belongs to the Amaranthaceae family. Genetic</w:t>
      </w:r>
      <w:r w:rsidR="00BD65A0">
        <w:rPr>
          <w:rFonts w:ascii="Times New Roman" w:hAnsi="Times New Roman" w:cs="Times New Roman"/>
          <w:sz w:val="22"/>
          <w:szCs w:val="22"/>
        </w:rPr>
        <w:t xml:space="preserve"> </w:t>
      </w:r>
      <w:r w:rsidRPr="00787C7B">
        <w:rPr>
          <w:rFonts w:ascii="Times New Roman" w:hAnsi="Times New Roman" w:cs="Times New Roman"/>
          <w:sz w:val="22"/>
          <w:szCs w:val="22"/>
        </w:rPr>
        <w:t xml:space="preserve">diversity and resistance to drought stress of this plant has made it widely </w:t>
      </w:r>
      <w:r w:rsidR="00BD65A0">
        <w:rPr>
          <w:rFonts w:ascii="Times New Roman" w:hAnsi="Times New Roman" w:cs="Times New Roman"/>
          <w:sz w:val="22"/>
          <w:szCs w:val="22"/>
        </w:rPr>
        <w:t xml:space="preserve">distributed in different regions. It </w:t>
      </w:r>
      <w:r w:rsidRPr="00787C7B">
        <w:rPr>
          <w:rFonts w:ascii="Times New Roman" w:hAnsi="Times New Roman" w:cs="Times New Roman"/>
          <w:sz w:val="22"/>
          <w:szCs w:val="22"/>
        </w:rPr>
        <w:t xml:space="preserve">contains highly genetic diversity and great potential </w:t>
      </w:r>
      <w:r w:rsidR="00BD65A0">
        <w:rPr>
          <w:rFonts w:ascii="Times New Roman" w:hAnsi="Times New Roman" w:cs="Times New Roman"/>
          <w:sz w:val="22"/>
          <w:szCs w:val="22"/>
        </w:rPr>
        <w:t>as fodder and can grow on salty land and</w:t>
      </w:r>
      <w:r w:rsidRPr="00787C7B">
        <w:rPr>
          <w:rFonts w:ascii="Times New Roman" w:hAnsi="Times New Roman" w:cs="Times New Roman"/>
          <w:sz w:val="22"/>
          <w:szCs w:val="22"/>
        </w:rPr>
        <w:t xml:space="preserve"> drought affected areas. Since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7C7B">
        <w:rPr>
          <w:rFonts w:ascii="Times New Roman" w:hAnsi="Times New Roman" w:cs="Times New Roman"/>
          <w:sz w:val="22"/>
          <w:szCs w:val="22"/>
        </w:rPr>
        <w:t>the soil salinity has become widely spread, environmental concern has sparked so many debates. An important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7C7B">
        <w:rPr>
          <w:rFonts w:ascii="Times New Roman" w:hAnsi="Times New Roman" w:cs="Times New Roman"/>
          <w:sz w:val="22"/>
          <w:szCs w:val="22"/>
        </w:rPr>
        <w:t>limiting factor in agricultural production worldwide is the sensitivity of most of the crop to salinity caused by high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7C7B">
        <w:rPr>
          <w:rFonts w:ascii="Times New Roman" w:hAnsi="Times New Roman" w:cs="Times New Roman"/>
          <w:sz w:val="22"/>
          <w:szCs w:val="22"/>
        </w:rPr>
        <w:t>concentration of salts soil. Plants use three different strategies to prevent and adapt to high Na+ concentrations.</w:t>
      </w:r>
      <w:r w:rsidR="00BD65A0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87C7B">
        <w:rPr>
          <w:rFonts w:ascii="Times New Roman" w:hAnsi="Times New Roman" w:cs="Times New Roman"/>
          <w:sz w:val="22"/>
          <w:szCs w:val="22"/>
        </w:rPr>
        <w:t>Antiporters are important category of genes that play a pivotal role in ion homeostasis in plants. Na+/H+ antiporters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7C7B">
        <w:rPr>
          <w:rFonts w:ascii="Times New Roman" w:hAnsi="Times New Roman" w:cs="Times New Roman"/>
          <w:sz w:val="22"/>
          <w:szCs w:val="22"/>
        </w:rPr>
        <w:t>(NHX1 and SOS1) are located in tonoplasts and reduce cytosolic Na+ concentration by pumping in the vacuole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7C7B">
        <w:rPr>
          <w:rFonts w:ascii="Times New Roman" w:hAnsi="Times New Roman" w:cs="Times New Roman"/>
          <w:sz w:val="22"/>
          <w:szCs w:val="22"/>
        </w:rPr>
        <w:t>whereas SOS1 is localized at the plasma membrane and extrudes Na+ in apoplasts.</w:t>
      </w:r>
    </w:p>
    <w:p w:rsidR="00787C7B" w:rsidRDefault="00787C7B" w:rsidP="00BD65A0">
      <w:pPr>
        <w:pStyle w:val="NoSpacing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p w:rsidR="0025623D" w:rsidRPr="00B6489B" w:rsidRDefault="0025623D" w:rsidP="00BD65A0">
      <w:pPr>
        <w:pStyle w:val="NoSpacing"/>
        <w:bidi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489B">
        <w:rPr>
          <w:rFonts w:ascii="Times New Roman" w:hAnsi="Times New Roman" w:cs="Times New Roman"/>
          <w:b/>
          <w:bCs/>
          <w:sz w:val="22"/>
          <w:szCs w:val="22"/>
        </w:rPr>
        <w:t>Methods</w:t>
      </w:r>
    </w:p>
    <w:p w:rsidR="001E3E6F" w:rsidRDefault="001E3E6F" w:rsidP="00BD65A0">
      <w:pPr>
        <w:pStyle w:val="NoSpacing"/>
        <w:tabs>
          <w:tab w:val="right" w:pos="9360"/>
        </w:tabs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1E3E6F">
        <w:rPr>
          <w:rFonts w:ascii="Times New Roman" w:hAnsi="Times New Roman" w:cs="Times New Roman"/>
          <w:sz w:val="22"/>
          <w:szCs w:val="22"/>
        </w:rPr>
        <w:t xml:space="preserve">Coding sequence of plasma membrane Na </w:t>
      </w:r>
      <w:r w:rsidRPr="001E3E6F">
        <w:rPr>
          <w:rFonts w:ascii="Times New Roman" w:hAnsi="Times New Roman" w:cs="Times New Roman"/>
          <w:sz w:val="22"/>
          <w:szCs w:val="22"/>
          <w:vertAlign w:val="superscript"/>
        </w:rPr>
        <w:t>+</w:t>
      </w:r>
      <w:r w:rsidRPr="001E3E6F">
        <w:rPr>
          <w:rFonts w:ascii="Times New Roman" w:hAnsi="Times New Roman" w:cs="Times New Roman"/>
          <w:sz w:val="22"/>
          <w:szCs w:val="22"/>
        </w:rPr>
        <w:t xml:space="preserve">/H </w:t>
      </w:r>
      <w:r w:rsidRPr="001E3E6F">
        <w:rPr>
          <w:rFonts w:ascii="Times New Roman" w:hAnsi="Times New Roman" w:cs="Times New Roman"/>
          <w:sz w:val="22"/>
          <w:szCs w:val="22"/>
          <w:vertAlign w:val="superscript"/>
        </w:rPr>
        <w:t>+</w:t>
      </w:r>
      <w:r w:rsidRPr="001E3E6F">
        <w:rPr>
          <w:rFonts w:ascii="Times New Roman" w:hAnsi="Times New Roman" w:cs="Times New Roman"/>
          <w:sz w:val="22"/>
          <w:szCs w:val="22"/>
        </w:rPr>
        <w:t xml:space="preserve"> antiporter (SOS1) and vacuole membrane Na </w:t>
      </w:r>
      <w:r w:rsidRPr="001E3E6F">
        <w:rPr>
          <w:rFonts w:ascii="Times New Roman" w:hAnsi="Times New Roman" w:cs="Times New Roman"/>
          <w:sz w:val="22"/>
          <w:szCs w:val="22"/>
          <w:vertAlign w:val="superscript"/>
        </w:rPr>
        <w:t>+</w:t>
      </w:r>
      <w:r w:rsidRPr="001E3E6F">
        <w:rPr>
          <w:rFonts w:ascii="Times New Roman" w:hAnsi="Times New Roman" w:cs="Times New Roman"/>
          <w:sz w:val="22"/>
          <w:szCs w:val="22"/>
        </w:rPr>
        <w:t xml:space="preserve">/H </w:t>
      </w:r>
      <w:r w:rsidRPr="001E3E6F">
        <w:rPr>
          <w:rFonts w:ascii="Times New Roman" w:hAnsi="Times New Roman" w:cs="Times New Roman"/>
          <w:sz w:val="22"/>
          <w:szCs w:val="22"/>
          <w:vertAlign w:val="superscript"/>
        </w:rPr>
        <w:t>+</w:t>
      </w:r>
      <w:r w:rsidRPr="001E3E6F">
        <w:rPr>
          <w:rFonts w:ascii="Times New Roman" w:hAnsi="Times New Roman" w:cs="Times New Roman"/>
          <w:sz w:val="22"/>
          <w:szCs w:val="22"/>
        </w:rPr>
        <w:t xml:space="preserve"> antiporter (NHX) in </w:t>
      </w:r>
      <w:r w:rsidRPr="001E3E6F">
        <w:rPr>
          <w:rFonts w:ascii="Times New Roman" w:hAnsi="Times New Roman" w:cs="Times New Roman"/>
          <w:i/>
          <w:iCs/>
          <w:sz w:val="22"/>
          <w:szCs w:val="22"/>
        </w:rPr>
        <w:t>Kochia scoparia</w:t>
      </w:r>
      <w:r w:rsidRPr="001E3E6F">
        <w:rPr>
          <w:rFonts w:ascii="Times New Roman" w:hAnsi="Times New Roman" w:cs="Times New Roman"/>
          <w:sz w:val="22"/>
          <w:szCs w:val="22"/>
        </w:rPr>
        <w:t xml:space="preserve"> were isolated using conserved sequences of SOS1 and NHX. Also, expression profile under salinity stress was studied in this study with semi-quantitative RT-PCR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6489B" w:rsidRPr="00B6489B" w:rsidRDefault="00B6489B" w:rsidP="00BD65A0">
      <w:pPr>
        <w:pStyle w:val="NoSpacing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p w:rsidR="0025623D" w:rsidRPr="00B6489B" w:rsidRDefault="0025623D" w:rsidP="00BD65A0">
      <w:pPr>
        <w:pStyle w:val="NoSpacing"/>
        <w:bidi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489B">
        <w:rPr>
          <w:rFonts w:ascii="Times New Roman" w:hAnsi="Times New Roman" w:cs="Times New Roman"/>
          <w:b/>
          <w:bCs/>
          <w:sz w:val="22"/>
          <w:szCs w:val="22"/>
        </w:rPr>
        <w:t>Results</w:t>
      </w:r>
    </w:p>
    <w:p w:rsidR="001E3E6F" w:rsidRPr="001E3E6F" w:rsidRDefault="00BD65A0" w:rsidP="00BD65A0">
      <w:pPr>
        <w:pStyle w:val="NoSpacing"/>
        <w:bidi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Results showed that t</w:t>
      </w:r>
      <w:r w:rsidR="001E3E6F" w:rsidRPr="001E3E6F">
        <w:rPr>
          <w:rFonts w:ascii="Times New Roman" w:hAnsi="Times New Roman" w:cs="Times New Roman"/>
          <w:sz w:val="22"/>
          <w:szCs w:val="22"/>
        </w:rPr>
        <w:t xml:space="preserve">he amino acid sequences (aa) of the isolated region of </w:t>
      </w:r>
      <w:r w:rsidR="001E3E6F" w:rsidRPr="001E3E6F">
        <w:rPr>
          <w:rFonts w:ascii="Times New Roman" w:hAnsi="Times New Roman" w:cs="Times New Roman"/>
          <w:i/>
          <w:iCs/>
          <w:sz w:val="22"/>
          <w:szCs w:val="22"/>
        </w:rPr>
        <w:t>K.S</w:t>
      </w:r>
      <w:r w:rsidR="001E3E6F" w:rsidRPr="001E3E6F">
        <w:rPr>
          <w:rFonts w:ascii="Times New Roman" w:hAnsi="Times New Roman" w:cs="Times New Roman"/>
          <w:sz w:val="22"/>
          <w:szCs w:val="22"/>
        </w:rPr>
        <w:t xml:space="preserve">SOS1 and </w:t>
      </w:r>
      <w:r w:rsidR="001E3E6F" w:rsidRPr="001E3E6F">
        <w:rPr>
          <w:rFonts w:ascii="Times New Roman" w:hAnsi="Times New Roman" w:cs="Times New Roman"/>
          <w:i/>
          <w:iCs/>
          <w:sz w:val="22"/>
          <w:szCs w:val="22"/>
        </w:rPr>
        <w:t>K.S</w:t>
      </w:r>
      <w:r w:rsidR="001E3E6F" w:rsidRPr="001E3E6F">
        <w:rPr>
          <w:rFonts w:ascii="Times New Roman" w:hAnsi="Times New Roman" w:cs="Times New Roman"/>
          <w:sz w:val="22"/>
          <w:szCs w:val="22"/>
        </w:rPr>
        <w:t>NHX have the maximum identity up to 84% and 90% to its orthologue in</w:t>
      </w:r>
      <w:r w:rsidR="001E3E6F" w:rsidRPr="001E3E6F">
        <w:rPr>
          <w:rFonts w:ascii="Times New Roman" w:hAnsi="Times New Roman" w:cs="Times New Roman"/>
          <w:i/>
          <w:iCs/>
          <w:sz w:val="22"/>
          <w:szCs w:val="22"/>
        </w:rPr>
        <w:t xml:space="preserve"> salicornia brachiata</w:t>
      </w:r>
      <w:r w:rsidR="001E3E6F" w:rsidRPr="001E3E6F">
        <w:rPr>
          <w:rFonts w:ascii="Times New Roman" w:hAnsi="Times New Roman" w:cs="Times New Roman"/>
          <w:sz w:val="22"/>
          <w:szCs w:val="22"/>
        </w:rPr>
        <w:t xml:space="preserve"> and </w:t>
      </w:r>
      <w:r w:rsidR="001E3E6F" w:rsidRPr="001E3E6F">
        <w:rPr>
          <w:rFonts w:ascii="Times New Roman" w:hAnsi="Times New Roman" w:cs="Times New Roman"/>
          <w:i/>
          <w:iCs/>
          <w:sz w:val="22"/>
          <w:szCs w:val="22"/>
        </w:rPr>
        <w:t>suadea maritima</w:t>
      </w:r>
      <w:r w:rsidR="001E3E6F" w:rsidRPr="001E3E6F">
        <w:rPr>
          <w:rFonts w:ascii="Times New Roman" w:hAnsi="Times New Roman" w:cs="Times New Roman"/>
          <w:sz w:val="22"/>
          <w:szCs w:val="22"/>
        </w:rPr>
        <w:t xml:space="preserve">, respectively. The results of semi-quantitative RT-PCR revealed that salinization has affected positively on SOS1 and NHX transcription levels in leaves and roots of </w:t>
      </w:r>
      <w:r w:rsidR="001E3E6F" w:rsidRPr="001E3E6F">
        <w:rPr>
          <w:rFonts w:ascii="Times New Roman" w:hAnsi="Times New Roman" w:cs="Times New Roman"/>
          <w:i/>
          <w:iCs/>
          <w:sz w:val="22"/>
          <w:szCs w:val="22"/>
        </w:rPr>
        <w:t>Kochia scoparia</w:t>
      </w:r>
      <w:r w:rsidR="001E3E6F" w:rsidRPr="001E3E6F">
        <w:rPr>
          <w:rFonts w:ascii="Times New Roman" w:hAnsi="Times New Roman" w:cs="Times New Roman"/>
          <w:sz w:val="22"/>
          <w:szCs w:val="22"/>
        </w:rPr>
        <w:t xml:space="preserve">  under all salinity levels(0,150 and 300mM). The results suggest that </w:t>
      </w:r>
      <w:r w:rsidR="001E3E6F" w:rsidRPr="001E3E6F">
        <w:rPr>
          <w:rFonts w:ascii="Times New Roman" w:hAnsi="Times New Roman" w:cs="Times New Roman"/>
          <w:i/>
          <w:iCs/>
          <w:sz w:val="22"/>
          <w:szCs w:val="22"/>
        </w:rPr>
        <w:t>K.S</w:t>
      </w:r>
      <w:r w:rsidR="001E3E6F" w:rsidRPr="001E3E6F">
        <w:rPr>
          <w:rFonts w:ascii="Times New Roman" w:hAnsi="Times New Roman" w:cs="Times New Roman"/>
          <w:sz w:val="22"/>
          <w:szCs w:val="22"/>
        </w:rPr>
        <w:t xml:space="preserve">SOS1 and </w:t>
      </w:r>
      <w:r w:rsidR="001E3E6F" w:rsidRPr="001E3E6F">
        <w:rPr>
          <w:rFonts w:ascii="Times New Roman" w:hAnsi="Times New Roman" w:cs="Times New Roman"/>
          <w:i/>
          <w:iCs/>
          <w:sz w:val="22"/>
          <w:szCs w:val="22"/>
        </w:rPr>
        <w:t>K.S</w:t>
      </w:r>
      <w:r w:rsidR="001E3E6F" w:rsidRPr="001E3E6F">
        <w:rPr>
          <w:rFonts w:ascii="Times New Roman" w:hAnsi="Times New Roman" w:cs="Times New Roman"/>
          <w:sz w:val="22"/>
          <w:szCs w:val="22"/>
        </w:rPr>
        <w:t xml:space="preserve">NHX  play an essential role in salt tolerance of </w:t>
      </w:r>
      <w:r w:rsidR="001E3E6F" w:rsidRPr="001E3E6F">
        <w:rPr>
          <w:rFonts w:ascii="Times New Roman" w:hAnsi="Times New Roman" w:cs="Times New Roman"/>
          <w:i/>
          <w:iCs/>
          <w:sz w:val="22"/>
          <w:szCs w:val="22"/>
        </w:rPr>
        <w:t>K.scoparia</w:t>
      </w:r>
      <w:r w:rsidR="001E3E6F" w:rsidRPr="001E3E6F">
        <w:rPr>
          <w:rFonts w:ascii="Times New Roman" w:hAnsi="Times New Roman" w:cs="Times New Roman"/>
          <w:sz w:val="22"/>
          <w:szCs w:val="22"/>
        </w:rPr>
        <w:t>and and they can be useful to improve salt tolerance in other crops.</w:t>
      </w:r>
    </w:p>
    <w:p w:rsidR="00787C7B" w:rsidRDefault="00787C7B" w:rsidP="00BD65A0">
      <w:pPr>
        <w:pStyle w:val="NoSpacing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787C7B" w:rsidSect="00ED3EC4">
      <w:headerReference w:type="default" r:id="rId6"/>
      <w:footerReference w:type="default" r:id="rId7"/>
      <w:pgSz w:w="12240" w:h="15840"/>
      <w:pgMar w:top="194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26" w:rsidRDefault="00902026" w:rsidP="00D65EFB">
      <w:pPr>
        <w:spacing w:after="0" w:line="240" w:lineRule="auto"/>
      </w:pPr>
      <w:r>
        <w:separator/>
      </w:r>
    </w:p>
  </w:endnote>
  <w:endnote w:type="continuationSeparator" w:id="0">
    <w:p w:rsidR="00902026" w:rsidRDefault="00902026" w:rsidP="00D6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FB" w:rsidRPr="00D65EFB" w:rsidRDefault="00D65EFB" w:rsidP="00DF2D9D">
    <w:pPr>
      <w:pStyle w:val="Footer"/>
      <w:bidi w:val="0"/>
      <w:jc w:val="right"/>
      <w:rPr>
        <w:sz w:val="22"/>
        <w:szCs w:val="24"/>
        <w:lang w:bidi="fa-IR"/>
      </w:rPr>
    </w:pPr>
    <w:r w:rsidRPr="00D65EFB">
      <w:rPr>
        <w:rFonts w:ascii="Times New Roman" w:hAnsi="Times New Roman" w:cs="Times New Roman"/>
        <w:sz w:val="22"/>
        <w:szCs w:val="22"/>
      </w:rPr>
      <w:t>Published by: University of Zabol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26" w:rsidRDefault="00902026" w:rsidP="00D65EFB">
      <w:pPr>
        <w:spacing w:after="0" w:line="240" w:lineRule="auto"/>
      </w:pPr>
      <w:r>
        <w:separator/>
      </w:r>
    </w:p>
  </w:footnote>
  <w:footnote w:type="continuationSeparator" w:id="0">
    <w:p w:rsidR="00902026" w:rsidRDefault="00902026" w:rsidP="00D6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FB" w:rsidRDefault="00BD65A0" w:rsidP="003C69D8">
    <w:pPr>
      <w:pStyle w:val="Header"/>
      <w:jc w:val="right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2228850</wp:posOffset>
              </wp:positionH>
              <wp:positionV relativeFrom="paragraph">
                <wp:posOffset>181610</wp:posOffset>
              </wp:positionV>
              <wp:extent cx="1609725" cy="447675"/>
              <wp:effectExtent l="0" t="0" r="9525" b="95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5EFB" w:rsidRPr="00D65EFB" w:rsidRDefault="00D65EFB" w:rsidP="00C53DCE">
                          <w:pPr>
                            <w:bidi w:val="0"/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32"/>
                              <w:rtl/>
                              <w:lang w:bidi="fa-IR"/>
                            </w:rPr>
                          </w:pPr>
                          <w:r w:rsidRPr="00D65EFB">
                            <w:rPr>
                              <w:b/>
                              <w:bCs/>
                              <w:sz w:val="26"/>
                              <w:szCs w:val="32"/>
                            </w:rPr>
                            <w:t>Technical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5pt;margin-top:14.3pt;width:126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" strokecolor="white [3212]">
              <v:textbox>
                <w:txbxContent>
                  <w:p w:rsidR="00D65EFB" w:rsidRPr="00D65EFB" w:rsidRDefault="00D65EFB" w:rsidP="00C53DCE">
                    <w:pPr>
                      <w:bidi w:val="0"/>
                      <w:spacing w:after="0"/>
                      <w:jc w:val="center"/>
                      <w:rPr>
                        <w:b/>
                        <w:bCs/>
                        <w:sz w:val="26"/>
                        <w:szCs w:val="32"/>
                        <w:rtl/>
                        <w:lang w:bidi="fa-IR"/>
                      </w:rPr>
                    </w:pPr>
                    <w:r w:rsidRPr="00D65EFB">
                      <w:rPr>
                        <w:b/>
                        <w:bCs/>
                        <w:sz w:val="26"/>
                        <w:szCs w:val="32"/>
                      </w:rPr>
                      <w:t>Technical Report</w:t>
                    </w:r>
                  </w:p>
                </w:txbxContent>
              </v:textbox>
            </v:shape>
          </w:pict>
        </mc:Fallback>
      </mc:AlternateContent>
    </w:r>
    <w:r w:rsidR="003C69D8">
      <w:rPr>
        <w:noProof/>
      </w:rPr>
      <w:drawing>
        <wp:inline distT="0" distB="0" distL="0" distR="0">
          <wp:extent cx="14668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FC"/>
    <w:rsid w:val="0000235A"/>
    <w:rsid w:val="00030BDF"/>
    <w:rsid w:val="00030C5F"/>
    <w:rsid w:val="0011047E"/>
    <w:rsid w:val="00124E5F"/>
    <w:rsid w:val="0019721B"/>
    <w:rsid w:val="001B18AB"/>
    <w:rsid w:val="001E3E6F"/>
    <w:rsid w:val="0025623D"/>
    <w:rsid w:val="002C0AC8"/>
    <w:rsid w:val="002D4CE2"/>
    <w:rsid w:val="003101D2"/>
    <w:rsid w:val="003126E2"/>
    <w:rsid w:val="003470EC"/>
    <w:rsid w:val="003C69D8"/>
    <w:rsid w:val="003F422D"/>
    <w:rsid w:val="004C473D"/>
    <w:rsid w:val="00591F97"/>
    <w:rsid w:val="006103D9"/>
    <w:rsid w:val="006954E1"/>
    <w:rsid w:val="0071425F"/>
    <w:rsid w:val="00787C7B"/>
    <w:rsid w:val="008351D8"/>
    <w:rsid w:val="00864C9A"/>
    <w:rsid w:val="008C2170"/>
    <w:rsid w:val="008F0929"/>
    <w:rsid w:val="008F0E6D"/>
    <w:rsid w:val="00902026"/>
    <w:rsid w:val="0092015B"/>
    <w:rsid w:val="00A01F84"/>
    <w:rsid w:val="00A03F35"/>
    <w:rsid w:val="00A50CBC"/>
    <w:rsid w:val="00B13B9E"/>
    <w:rsid w:val="00B6489B"/>
    <w:rsid w:val="00B7482E"/>
    <w:rsid w:val="00BD65A0"/>
    <w:rsid w:val="00C2191D"/>
    <w:rsid w:val="00C53DCE"/>
    <w:rsid w:val="00D341AC"/>
    <w:rsid w:val="00D65EFB"/>
    <w:rsid w:val="00DF2D9D"/>
    <w:rsid w:val="00ED3EC4"/>
    <w:rsid w:val="00F240FC"/>
    <w:rsid w:val="00F26353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AE9EA"/>
  <w15:docId w15:val="{5B257311-E998-4AD8-8376-1F6D942F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7E"/>
    <w:pPr>
      <w:bidi/>
      <w:spacing w:line="360" w:lineRule="auto"/>
    </w:pPr>
    <w:rPr>
      <w:rFonts w:ascii="Times New Roman (Headings CS)" w:eastAsia="Calibri" w:hAnsi="Times New Roman (Headings CS)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FB"/>
    <w:rPr>
      <w:rFonts w:ascii="Times New Roman (Headings CS)" w:eastAsia="Calibri" w:hAnsi="Times New Roman (Headings CS)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6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FB"/>
    <w:rPr>
      <w:rFonts w:ascii="Times New Roman (Headings CS)" w:eastAsia="Calibri" w:hAnsi="Times New Roman (Headings CS)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FB"/>
    <w:rPr>
      <w:rFonts w:ascii="Tahoma" w:eastAsia="Calibri" w:hAnsi="Tahoma" w:cs="Tahoma"/>
      <w:sz w:val="16"/>
      <w:szCs w:val="16"/>
    </w:rPr>
  </w:style>
  <w:style w:type="paragraph" w:customStyle="1" w:styleId="p">
    <w:name w:val="p"/>
    <w:basedOn w:val="Normal"/>
    <w:rsid w:val="00ED3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fa-IR"/>
    </w:rPr>
  </w:style>
  <w:style w:type="paragraph" w:styleId="NoSpacing">
    <w:name w:val="No Spacing"/>
    <w:uiPriority w:val="1"/>
    <w:qFormat/>
    <w:rsid w:val="00B6489B"/>
    <w:pPr>
      <w:bidi/>
      <w:spacing w:after="0" w:line="240" w:lineRule="auto"/>
    </w:pPr>
    <w:rPr>
      <w:rFonts w:ascii="Times New Roman (Headings CS)" w:eastAsia="Calibri" w:hAnsi="Times New Roman (Headings CS)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2018-05-13T06:37:00Z</dcterms:created>
  <dcterms:modified xsi:type="dcterms:W3CDTF">2018-05-13T06:37:00Z</dcterms:modified>
</cp:coreProperties>
</file>